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3：</w:t>
      </w:r>
    </w:p>
    <w:p>
      <w:pPr>
        <w:widowControl/>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浙江海正药业股份有限公司</w:t>
      </w:r>
    </w:p>
    <w:p>
      <w:pPr>
        <w:widowControl/>
        <w:jc w:val="center"/>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关于建设能源管控系统的用户需求</w:t>
      </w:r>
    </w:p>
    <w:p>
      <w:pPr>
        <w:widowControl/>
        <w:spacing w:before="156" w:beforeLines="50" w:line="360" w:lineRule="auto"/>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一、项目概况：</w:t>
      </w:r>
    </w:p>
    <w:p>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浙江海正药业股份有限公司是中国一家先进的制药企业，生产产品涉及原料药和制剂多个领域。海正管理层决定在海正厂区建设能源管控系统。承包方应以优质的工程和完善的文件资料以通过中国新版GMP和FDA的检查。</w:t>
      </w:r>
    </w:p>
    <w:p>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本用户需求目的是：提出能源管控系统设计、供应、安装、测试和移交，以及验证的相关要求。承包方必须提供详细可行的实现方案。本用户需求将用于设备的采购，确认，计算机系统验证。实现对海正药业台州基地能源参数的实时采集、监控、报警；能源实绩分析管理、能源平衡管理、能源成本报表分析、能源管理报表分析、手机客户端查看图表和报警、各通讯节点通讯故障手机短信报警、能源统计运算后的数据以数据库表结构开放给SAP系统供其读取。同时，该系统具备接入海正药业富阳基地及海正药业南通基地能源数据并实现上述功能的能力。</w:t>
      </w:r>
    </w:p>
    <w:p>
      <w:pPr>
        <w:widowControl/>
        <w:spacing w:before="156" w:beforeLines="50" w:line="360" w:lineRule="auto"/>
        <w:jc w:val="left"/>
        <w:rPr>
          <w:color w:val="000000" w:themeColor="text1"/>
          <w14:textFill>
            <w14:solidFill>
              <w14:schemeClr w14:val="tx1"/>
            </w14:solidFill>
          </w14:textFill>
        </w:rPr>
      </w:pPr>
      <w:r>
        <w:rPr>
          <w:rFonts w:hint="eastAsia"/>
          <w:b/>
          <w:color w:val="000000" w:themeColor="text1"/>
          <w14:textFill>
            <w14:solidFill>
              <w14:schemeClr w14:val="tx1"/>
            </w14:solidFill>
          </w14:textFill>
        </w:rPr>
        <w:t>二、系统范围：</w:t>
      </w:r>
    </w:p>
    <w:p>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在目前岩头现有的能源管控系统的基础上调整或新增一套新的能源管控系统，使台州基地成为海正三地的能源监控调度和分析中心。要求通过公司局域网，将富阳和南通厂区的能源数据接入台州基地能源管控系统（本项目不包含两基地内部能源计量系统建设，仅将两基地的已有能源数据接入，暂不需要数据画面，同时须为后续两基地内新增的能源数据做预留接口），继而形成统一的能源管控大数据系统。</w:t>
      </w:r>
    </w:p>
    <w:p>
      <w:pPr>
        <w:widowControl/>
        <w:spacing w:line="360" w:lineRule="auto"/>
        <w:ind w:firstLine="420" w:firstLineChars="200"/>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供应商应</w:t>
      </w:r>
      <w:r>
        <w:rPr>
          <w:rFonts w:hint="eastAsia" w:ascii="宋体" w:hAnsi="宋体" w:cs="Arial"/>
          <w:color w:val="000000" w:themeColor="text1"/>
          <w:szCs w:val="21"/>
          <w14:textFill>
            <w14:solidFill>
              <w14:schemeClr w14:val="tx1"/>
            </w14:solidFill>
          </w14:textFill>
        </w:rPr>
        <w:t>提供本项目的</w:t>
      </w:r>
      <w:r>
        <w:rPr>
          <w:rFonts w:ascii="宋体" w:hAnsi="宋体" w:cs="Arial"/>
          <w:color w:val="000000" w:themeColor="text1"/>
          <w:szCs w:val="21"/>
          <w14:textFill>
            <w14:solidFill>
              <w14:schemeClr w14:val="tx1"/>
            </w14:solidFill>
          </w14:textFill>
        </w:rPr>
        <w:t>方案设计、施工图纸设计；</w:t>
      </w:r>
      <w:r>
        <w:rPr>
          <w:rFonts w:hint="eastAsia" w:ascii="宋体" w:hAnsi="宋体" w:cs="Arial"/>
          <w:color w:val="000000" w:themeColor="text1"/>
          <w:szCs w:val="21"/>
          <w14:textFill>
            <w14:solidFill>
              <w14:schemeClr w14:val="tx1"/>
            </w14:solidFill>
          </w14:textFill>
        </w:rPr>
        <w:t>能源管控</w:t>
      </w:r>
      <w:r>
        <w:rPr>
          <w:rFonts w:ascii="宋体" w:hAnsi="宋体" w:cs="Arial"/>
          <w:color w:val="000000" w:themeColor="text1"/>
          <w:szCs w:val="21"/>
          <w14:textFill>
            <w14:solidFill>
              <w14:schemeClr w14:val="tx1"/>
            </w14:solidFill>
          </w14:textFill>
        </w:rPr>
        <w:t>系统内的监控站、现场控制器、I/O模块；</w:t>
      </w:r>
      <w:r>
        <w:rPr>
          <w:rFonts w:hint="eastAsia" w:ascii="宋体" w:hAnsi="宋体" w:cs="Arial"/>
          <w:color w:val="000000" w:themeColor="text1"/>
          <w:szCs w:val="21"/>
          <w14:textFill>
            <w14:solidFill>
              <w14:schemeClr w14:val="tx1"/>
            </w14:solidFill>
          </w14:textFill>
        </w:rPr>
        <w:t>现场各能源介质的</w:t>
      </w:r>
      <w:r>
        <w:rPr>
          <w:rFonts w:ascii="宋体" w:hAnsi="宋体" w:cs="Arial"/>
          <w:color w:val="000000" w:themeColor="text1"/>
          <w:szCs w:val="21"/>
          <w14:textFill>
            <w14:solidFill>
              <w14:schemeClr w14:val="tx1"/>
            </w14:solidFill>
          </w14:textFill>
        </w:rPr>
        <w:t>温度/</w:t>
      </w:r>
      <w:r>
        <w:rPr>
          <w:rFonts w:hint="eastAsia" w:ascii="宋体" w:hAnsi="宋体" w:cs="Arial"/>
          <w:color w:val="000000" w:themeColor="text1"/>
          <w:szCs w:val="21"/>
          <w14:textFill>
            <w14:solidFill>
              <w14:schemeClr w14:val="tx1"/>
            </w14:solidFill>
          </w14:textFill>
        </w:rPr>
        <w:t>流量</w:t>
      </w:r>
      <w:r>
        <w:rPr>
          <w:rFonts w:ascii="宋体" w:hAnsi="宋体" w:cs="Arial"/>
          <w:color w:val="000000" w:themeColor="text1"/>
          <w:szCs w:val="21"/>
          <w14:textFill>
            <w14:solidFill>
              <w14:schemeClr w14:val="tx1"/>
            </w14:solidFill>
          </w14:textFill>
        </w:rPr>
        <w:t>/压</w:t>
      </w:r>
      <w:r>
        <w:rPr>
          <w:rFonts w:hint="eastAsia" w:ascii="宋体" w:hAnsi="宋体" w:cs="Arial"/>
          <w:color w:val="000000" w:themeColor="text1"/>
          <w:szCs w:val="21"/>
          <w14:textFill>
            <w14:solidFill>
              <w14:schemeClr w14:val="tx1"/>
            </w14:solidFill>
          </w14:textFill>
        </w:rPr>
        <w:t>力</w:t>
      </w:r>
      <w:r>
        <w:rPr>
          <w:rFonts w:ascii="宋体" w:hAnsi="宋体" w:cs="Arial"/>
          <w:color w:val="000000" w:themeColor="text1"/>
          <w:szCs w:val="21"/>
          <w14:textFill>
            <w14:solidFill>
              <w14:schemeClr w14:val="tx1"/>
            </w14:solidFill>
          </w14:textFill>
        </w:rPr>
        <w:t>等传感器；</w:t>
      </w:r>
      <w:r>
        <w:rPr>
          <w:rFonts w:hint="eastAsia" w:ascii="宋体" w:hAnsi="宋体" w:cs="Arial"/>
          <w:color w:val="000000" w:themeColor="text1"/>
          <w:szCs w:val="21"/>
          <w14:textFill>
            <w14:solidFill>
              <w14:schemeClr w14:val="tx1"/>
            </w14:solidFill>
          </w14:textFill>
        </w:rPr>
        <w:t>机</w:t>
      </w:r>
      <w:r>
        <w:rPr>
          <w:rFonts w:ascii="宋体" w:hAnsi="宋体" w:cs="Arial"/>
          <w:color w:val="000000" w:themeColor="text1"/>
          <w:szCs w:val="21"/>
          <w14:textFill>
            <w14:solidFill>
              <w14:schemeClr w14:val="tx1"/>
            </w14:solidFill>
          </w14:textFill>
        </w:rPr>
        <w:t>电施工、各种安装辅材（含电缆、桥架</w:t>
      </w:r>
      <w:r>
        <w:rPr>
          <w:rFonts w:hint="eastAsia" w:ascii="宋体" w:hAnsi="宋体" w:cs="Arial"/>
          <w:color w:val="000000" w:themeColor="text1"/>
          <w:szCs w:val="21"/>
          <w14:textFill>
            <w14:solidFill>
              <w14:schemeClr w14:val="tx1"/>
            </w14:solidFill>
          </w14:textFill>
        </w:rPr>
        <w:t>、仪表安装附件</w:t>
      </w:r>
      <w:r>
        <w:rPr>
          <w:rFonts w:ascii="宋体" w:hAnsi="宋体" w:cs="Arial"/>
          <w:color w:val="000000" w:themeColor="text1"/>
          <w:szCs w:val="21"/>
          <w14:textFill>
            <w14:solidFill>
              <w14:schemeClr w14:val="tx1"/>
            </w14:solidFill>
          </w14:textFill>
        </w:rPr>
        <w:t>等）；系统的安装调试、软件设计、工程设备资料图纸和提供相关的验证支持服务</w:t>
      </w:r>
      <w:r>
        <w:rPr>
          <w:rFonts w:hint="eastAsia" w:ascii="宋体" w:hAnsi="宋体" w:cs="Arial"/>
          <w:color w:val="000000" w:themeColor="text1"/>
          <w:szCs w:val="21"/>
          <w14:textFill>
            <w14:solidFill>
              <w14:schemeClr w14:val="tx1"/>
            </w14:solidFill>
          </w14:textFill>
        </w:rPr>
        <w:t>。</w:t>
      </w:r>
    </w:p>
    <w:p>
      <w:pPr>
        <w:spacing w:line="360" w:lineRule="auto"/>
        <w:outlineLvl w:val="1"/>
        <w:rPr>
          <w:rFonts w:ascii="宋体" w:hAnsi="宋体" w:cs="Arial"/>
          <w:b/>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三、</w:t>
      </w:r>
      <w:r>
        <w:rPr>
          <w:rFonts w:ascii="宋体" w:hAnsi="宋体" w:cs="Arial"/>
          <w:b/>
          <w:color w:val="000000" w:themeColor="text1"/>
          <w:szCs w:val="21"/>
          <w14:textFill>
            <w14:solidFill>
              <w14:schemeClr w14:val="tx1"/>
            </w14:solidFill>
          </w14:textFill>
        </w:rPr>
        <w:t>项目标准</w:t>
      </w:r>
    </w:p>
    <w:p>
      <w:pPr>
        <w:widowControl/>
        <w:spacing w:line="360" w:lineRule="auto"/>
        <w:ind w:firstLine="420" w:firstLineChars="200"/>
        <w:jc w:val="left"/>
        <w:rPr>
          <w:rFonts w:ascii="宋体" w:hAnsi="宋体" w:cs="Arial"/>
          <w:color w:val="000000" w:themeColor="text1"/>
          <w:szCs w:val="21"/>
          <w14:textFill>
            <w14:solidFill>
              <w14:schemeClr w14:val="tx1"/>
            </w14:solidFill>
          </w14:textFill>
        </w:rPr>
      </w:pPr>
      <w:r>
        <w:rPr>
          <w:rFonts w:ascii="宋体" w:hAnsi="宋体" w:cs="Arial"/>
          <w:color w:val="000000" w:themeColor="text1"/>
          <w:szCs w:val="21"/>
          <w14:textFill>
            <w14:solidFill>
              <w14:schemeClr w14:val="tx1"/>
            </w14:solidFill>
          </w14:textFill>
        </w:rPr>
        <w:t>项目建成时，符合中国药品GMP、美国药品cGMP，欧盟药品GMP等要求。</w:t>
      </w:r>
    </w:p>
    <w:p>
      <w:pPr>
        <w:widowControl/>
        <w:spacing w:before="156" w:beforeLines="50" w:line="360" w:lineRule="auto"/>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三、供应商要求：</w:t>
      </w:r>
    </w:p>
    <w:p>
      <w:pPr>
        <w:widowControl/>
        <w:spacing w:before="156" w:beforeLines="50"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（一）国内具有独立法人资格，且符合《中华人民共和国政府采购法》要求具备的条件，并具有该行业国家规定必备资质、资格、较强的经济技术实力良好的信誉和售后服务能力的设备供应商；</w:t>
      </w:r>
    </w:p>
    <w:p>
      <w:pPr>
        <w:widowControl/>
        <w:spacing w:before="156" w:beforeLines="50"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（二）公司成立至少五年以上，生产同类型的产品在中国国内和国外有用户；</w:t>
      </w:r>
    </w:p>
    <w:p>
      <w:pPr>
        <w:widowControl/>
        <w:spacing w:before="156" w:beforeLines="50"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（三）良好的经营信誉和健康的财政收支状态；</w:t>
      </w:r>
    </w:p>
    <w:p>
      <w:pPr>
        <w:widowControl/>
        <w:spacing w:before="156" w:beforeLines="50"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（四）具有履行合同所必需的设备和专业技术能力；</w:t>
      </w:r>
      <w:bookmarkStart w:id="0" w:name="_GoBack"/>
      <w:bookmarkEnd w:id="0"/>
    </w:p>
    <w:p>
      <w:pPr>
        <w:widowControl/>
        <w:spacing w:before="156" w:beforeLines="50"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（五）具有在制造所在地进行设备性能测试的能力；</w:t>
      </w:r>
    </w:p>
    <w:p>
      <w:pPr>
        <w:widowControl/>
        <w:spacing w:before="156" w:beforeLines="50"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（六）提供试车资料及测试保障；</w:t>
      </w:r>
    </w:p>
    <w:p>
      <w:pPr>
        <w:widowControl/>
        <w:spacing w:before="156" w:beforeLines="50"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（七）能保证执行交货期；</w:t>
      </w:r>
    </w:p>
    <w:p>
      <w:pPr>
        <w:widowControl/>
        <w:spacing w:before="156" w:beforeLines="50"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（八）熟悉GMP及相关的行业安全规范；</w:t>
      </w:r>
    </w:p>
    <w:p>
      <w:pPr>
        <w:widowControl/>
        <w:spacing w:before="156" w:beforeLines="50"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（九）具有独立承担民事责任的能力,并在参加采购活动的前三年内没有重大违法记录；                           </w:t>
      </w:r>
    </w:p>
    <w:p>
      <w:pPr>
        <w:widowControl/>
        <w:spacing w:before="156" w:beforeLines="50" w:line="360" w:lineRule="auto"/>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（十）法律、行政法规规定的其它条件。</w:t>
      </w:r>
    </w:p>
    <w:p>
      <w:pPr>
        <w:widowControl/>
        <w:spacing w:before="156" w:beforeLines="50" w:line="360" w:lineRule="auto"/>
        <w:jc w:val="left"/>
        <w:rPr>
          <w:b/>
          <w:color w:val="000000" w:themeColor="text1"/>
          <w14:textFill>
            <w14:solidFill>
              <w14:schemeClr w14:val="tx1"/>
            </w14:solidFill>
          </w14:textFill>
        </w:rPr>
      </w:pPr>
      <w:r>
        <w:rPr>
          <w:rFonts w:hint="eastAsia"/>
          <w:b/>
          <w:color w:val="000000" w:themeColor="text1"/>
          <w14:textFill>
            <w14:solidFill>
              <w14:schemeClr w14:val="tx1"/>
            </w14:solidFill>
          </w14:textFill>
        </w:rPr>
        <w:t>四、付款方式：</w:t>
      </w:r>
    </w:p>
    <w:p>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4.1本合同签订后买方支</w:t>
      </w:r>
      <w:r>
        <w:rPr>
          <w:rFonts w:hint="eastAsia"/>
          <w:color w:val="000000" w:themeColor="text1"/>
          <w:sz w:val="20"/>
          <w:szCs w:val="22"/>
          <w14:textFill>
            <w14:solidFill>
              <w14:schemeClr w14:val="tx1"/>
            </w14:solidFill>
          </w14:textFill>
        </w:rPr>
        <w:t>付合同总金额的30%作为预付</w:t>
      </w:r>
      <w:r>
        <w:rPr>
          <w:rFonts w:hint="eastAsia"/>
          <w:color w:val="000000" w:themeColor="text1"/>
          <w14:textFill>
            <w14:solidFill>
              <w14:schemeClr w14:val="tx1"/>
            </w14:solidFill>
          </w14:textFill>
        </w:rPr>
        <w:t>款；</w:t>
      </w:r>
    </w:p>
    <w:p>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4.2设备到货经买方确认后（即初步检验后）30个工作日内支付合同总金额30%的到货款。</w:t>
      </w:r>
    </w:p>
    <w:p>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4.3本合同货物整体安装调试完成经买方验收合格后，卖方开具全额13%增值税专用发票，买方收到发票后30个工作日内支付合同总金额30%的调试款；</w:t>
      </w:r>
    </w:p>
    <w:p>
      <w:pPr>
        <w:widowControl/>
        <w:spacing w:line="360" w:lineRule="auto"/>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4.4合同总金额的10%作为质保金，质保期满且无质量问题30个工作日内无息付清。</w:t>
      </w: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3NDc2NmRmYjRiOTgxYmEzNjE3NWQ4NWUwMDZmYWQifQ=="/>
  </w:docVars>
  <w:rsids>
    <w:rsidRoot w:val="00000000"/>
    <w:rsid w:val="00F74E35"/>
    <w:rsid w:val="1B9531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2024-04-22T08:47:30Z</dcterms:created>
  <dc:creator>Administrator</dc:creator>
  <cp:lastModifiedBy>Administrator</cp:lastModifiedBy>
  <dcterms:modified xsi:type="dcterms:W3CDTF">2024-04-22T08:48:41Z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7A3DA39E04274B26B1515800BBD88B98_12</vt:lpwstr>
  </property>
</Properties>
</file>