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60" w:after="60" w:line="360" w:lineRule="auto"/>
        <w:ind w:left="840" w:firstLine="2650" w:firstLineChars="1100"/>
        <w:rPr>
          <w:rFonts w:ascii="宋体" w:hAnsi="宋体" w:eastAsia="宋体"/>
          <w:b/>
          <w:bCs/>
          <w:color w:val="333333"/>
          <w:sz w:val="24"/>
          <w:szCs w:val="24"/>
        </w:rPr>
      </w:pPr>
      <w:r>
        <w:rPr>
          <w:rFonts w:ascii="宋体" w:hAnsi="宋体" w:eastAsia="宋体"/>
          <w:b/>
          <w:bCs/>
          <w:color w:val="333333"/>
          <w:sz w:val="24"/>
          <w:szCs w:val="24"/>
        </w:rPr>
        <w:t>用户需求</w:t>
      </w:r>
      <w:r>
        <w:rPr>
          <w:rFonts w:hint="eastAsia" w:ascii="宋体" w:hAnsi="宋体" w:eastAsia="宋体"/>
          <w:b/>
          <w:bCs/>
          <w:color w:val="333333"/>
          <w:sz w:val="24"/>
          <w:szCs w:val="24"/>
        </w:rPr>
        <w:t>(</w:t>
      </w:r>
      <w:r>
        <w:rPr>
          <w:rFonts w:ascii="宋体" w:hAnsi="宋体" w:eastAsia="宋体"/>
          <w:b/>
          <w:bCs/>
          <w:color w:val="333333"/>
          <w:sz w:val="24"/>
          <w:szCs w:val="24"/>
        </w:rPr>
        <w:t>URS)</w:t>
      </w:r>
    </w:p>
    <w:p>
      <w:pPr>
        <w:pStyle w:val="2"/>
        <w:spacing w:before="156"/>
        <w:rPr>
          <w:rFonts w:asciiTheme="minorEastAsia" w:hAnsiTheme="minorEastAsia"/>
        </w:rPr>
      </w:pPr>
      <w:bookmarkStart w:id="0" w:name="_Toc44921836"/>
      <w:r>
        <w:rPr>
          <w:rFonts w:hint="eastAsia" w:asciiTheme="minorEastAsia" w:hAnsiTheme="minorEastAsia"/>
        </w:rPr>
        <w:t>目的</w:t>
      </w:r>
      <w:r>
        <w:rPr>
          <w:rFonts w:asciiTheme="minorEastAsia" w:hAnsiTheme="minorEastAsia"/>
        </w:rPr>
        <w:t>和范围</w:t>
      </w:r>
      <w:r>
        <w:rPr>
          <w:rFonts w:hint="eastAsia" w:asciiTheme="minorEastAsia" w:hAnsiTheme="minorEastAsia"/>
        </w:rPr>
        <w:t>/Purpose</w:t>
      </w:r>
      <w:r>
        <w:rPr>
          <w:rFonts w:asciiTheme="minorEastAsia" w:hAnsiTheme="minorEastAsia"/>
        </w:rPr>
        <w:t xml:space="preserve"> and Scope</w:t>
      </w:r>
      <w:bookmarkEnd w:id="0"/>
    </w:p>
    <w:p>
      <w:pPr>
        <w:pStyle w:val="10"/>
        <w:numPr>
          <w:ilvl w:val="0"/>
          <w:numId w:val="2"/>
        </w:numPr>
        <w:ind w:firstLine="420"/>
        <w:outlineLvl w:val="2"/>
        <w:rPr>
          <w:rFonts w:cs="Arial" w:asciiTheme="majorEastAsia" w:hAnsiTheme="majorEastAsia" w:eastAsiaTheme="majorEastAsia"/>
          <w:bCs/>
          <w:szCs w:val="21"/>
        </w:rPr>
      </w:pPr>
      <w:r>
        <w:rPr>
          <w:rFonts w:hint="eastAsia" w:cs="Arial" w:asciiTheme="majorEastAsia" w:hAnsiTheme="majorEastAsia" w:eastAsiaTheme="majorEastAsia"/>
          <w:bCs/>
          <w:szCs w:val="21"/>
        </w:rPr>
        <w:t>本</w:t>
      </w:r>
      <w:r>
        <w:rPr>
          <w:rFonts w:cs="Arial" w:asciiTheme="majorEastAsia" w:hAnsiTheme="majorEastAsia" w:eastAsiaTheme="majorEastAsia"/>
          <w:bCs/>
          <w:szCs w:val="21"/>
        </w:rPr>
        <w:t>URS中的编写的范围是指：</w:t>
      </w:r>
      <w:r>
        <w:rPr>
          <w:rFonts w:hint="eastAsia" w:cs="Arial" w:asciiTheme="majorEastAsia" w:hAnsiTheme="majorEastAsia" w:eastAsiaTheme="majorEastAsia"/>
          <w:bCs/>
          <w:szCs w:val="21"/>
        </w:rPr>
        <w:t>浙江海正药业股份有限公司基建零星工程项目。招标范围：</w:t>
      </w:r>
      <w:r>
        <w:rPr>
          <w:rFonts w:asciiTheme="majorEastAsia" w:hAnsiTheme="majorEastAsia" w:eastAsiaTheme="majorEastAsia"/>
        </w:rPr>
        <w:t>包括单项工程合同估算价在50万元以下（不含50万元）的市政、土建、给排水工程（不含工艺用水），不含机电安装、弱电工程、洁净工程、电气工程、净化工程、消防工程及工艺管道的油漆、保温等</w:t>
      </w:r>
      <w:r>
        <w:rPr>
          <w:rFonts w:hint="eastAsia" w:cs="Arial" w:asciiTheme="majorEastAsia" w:hAnsiTheme="majorEastAsia" w:eastAsiaTheme="majorEastAsia"/>
          <w:bCs/>
          <w:szCs w:val="21"/>
        </w:rPr>
        <w:t>。本</w:t>
      </w:r>
      <w:r>
        <w:rPr>
          <w:rFonts w:cs="Arial" w:asciiTheme="majorEastAsia" w:hAnsiTheme="majorEastAsia" w:eastAsiaTheme="majorEastAsia"/>
          <w:bCs/>
          <w:szCs w:val="21"/>
        </w:rPr>
        <w:t>URS</w:t>
      </w:r>
      <w:r>
        <w:rPr>
          <w:rFonts w:hint="eastAsia" w:cs="Arial" w:asciiTheme="majorEastAsia" w:hAnsiTheme="majorEastAsia" w:eastAsiaTheme="majorEastAsia"/>
          <w:bCs/>
          <w:szCs w:val="21"/>
        </w:rPr>
        <w:t>为基建零星工程维修而编写，</w:t>
      </w:r>
      <w:r>
        <w:rPr>
          <w:rFonts w:cs="Arial" w:asciiTheme="majorEastAsia" w:hAnsiTheme="majorEastAsia" w:eastAsiaTheme="majorEastAsia"/>
          <w:bCs/>
          <w:szCs w:val="21"/>
        </w:rPr>
        <w:t>是对零星维修</w:t>
      </w:r>
      <w:r>
        <w:rPr>
          <w:rFonts w:hint="eastAsia" w:cs="Arial" w:asciiTheme="majorEastAsia" w:hAnsiTheme="majorEastAsia" w:eastAsiaTheme="majorEastAsia"/>
          <w:bCs/>
          <w:szCs w:val="21"/>
        </w:rPr>
        <w:t>/</w:t>
      </w:r>
      <w:r>
        <w:rPr>
          <w:rFonts w:cs="Arial" w:asciiTheme="majorEastAsia" w:hAnsiTheme="majorEastAsia" w:eastAsiaTheme="majorEastAsia"/>
          <w:bCs/>
          <w:szCs w:val="21"/>
        </w:rPr>
        <w:t>服务的期望和要求</w:t>
      </w:r>
      <w:r>
        <w:rPr>
          <w:rFonts w:hint="eastAsia" w:cs="Arial" w:asciiTheme="majorEastAsia" w:hAnsiTheme="majorEastAsia" w:eastAsiaTheme="majorEastAsia"/>
          <w:bCs/>
          <w:szCs w:val="21"/>
        </w:rPr>
        <w:t>，服务于海正药业浙江台州岩头、外沙、东厂三个厂区。各厂区占地面积如下：岩头厂区约8</w:t>
      </w:r>
      <w:r>
        <w:rPr>
          <w:rFonts w:cs="Arial" w:asciiTheme="majorEastAsia" w:hAnsiTheme="majorEastAsia" w:eastAsiaTheme="majorEastAsia"/>
          <w:bCs/>
          <w:szCs w:val="21"/>
        </w:rPr>
        <w:t>56</w:t>
      </w:r>
      <w:r>
        <w:rPr>
          <w:rFonts w:hint="eastAsia" w:cs="Arial" w:asciiTheme="majorEastAsia" w:hAnsiTheme="majorEastAsia" w:eastAsiaTheme="majorEastAsia"/>
          <w:bCs/>
          <w:szCs w:val="21"/>
        </w:rPr>
        <w:t>亩，外沙厂区约2</w:t>
      </w:r>
      <w:r>
        <w:rPr>
          <w:rFonts w:cs="Arial" w:asciiTheme="majorEastAsia" w:hAnsiTheme="majorEastAsia" w:eastAsiaTheme="majorEastAsia"/>
          <w:bCs/>
          <w:szCs w:val="21"/>
        </w:rPr>
        <w:t>24</w:t>
      </w:r>
      <w:r>
        <w:rPr>
          <w:rFonts w:hint="eastAsia" w:cs="Arial" w:asciiTheme="majorEastAsia" w:hAnsiTheme="majorEastAsia" w:eastAsiaTheme="majorEastAsia"/>
          <w:bCs/>
          <w:szCs w:val="21"/>
        </w:rPr>
        <w:t>亩（含化工四幢仓库），外沙东厂区约9</w:t>
      </w:r>
      <w:r>
        <w:rPr>
          <w:rFonts w:cs="Arial" w:asciiTheme="majorEastAsia" w:hAnsiTheme="majorEastAsia" w:eastAsiaTheme="majorEastAsia"/>
          <w:bCs/>
          <w:szCs w:val="21"/>
        </w:rPr>
        <w:t>2</w:t>
      </w:r>
      <w:r>
        <w:rPr>
          <w:rFonts w:hint="eastAsia" w:cs="Arial" w:asciiTheme="majorEastAsia" w:hAnsiTheme="majorEastAsia" w:eastAsiaTheme="majorEastAsia"/>
          <w:bCs/>
          <w:szCs w:val="21"/>
        </w:rPr>
        <w:t>亩。</w:t>
      </w:r>
    </w:p>
    <w:p>
      <w:pPr>
        <w:pStyle w:val="10"/>
        <w:numPr>
          <w:ilvl w:val="0"/>
          <w:numId w:val="2"/>
        </w:numPr>
        <w:ind w:firstLine="420"/>
        <w:outlineLvl w:val="2"/>
        <w:rPr>
          <w:rFonts w:cs="Arial" w:asciiTheme="majorEastAsia" w:hAnsiTheme="majorEastAsia" w:eastAsiaTheme="majorEastAsia"/>
          <w:bCs/>
          <w:szCs w:val="21"/>
        </w:rPr>
      </w:pPr>
      <w:r>
        <w:rPr>
          <w:rFonts w:hint="eastAsia" w:cs="Arial" w:asciiTheme="majorEastAsia" w:hAnsiTheme="majorEastAsia" w:eastAsiaTheme="majorEastAsia"/>
          <w:bCs/>
          <w:szCs w:val="21"/>
        </w:rPr>
        <w:t>本URS目的是提出采购供应、合同管理、零星工程施工、检验/测试、验收和交付及质量保修、工程培训的相关要求。投标人须根据这些相关要求进行投标，任何与本</w:t>
      </w:r>
      <w:r>
        <w:rPr>
          <w:rFonts w:cs="Arial" w:asciiTheme="majorEastAsia" w:hAnsiTheme="majorEastAsia" w:eastAsiaTheme="majorEastAsia"/>
          <w:bCs/>
          <w:szCs w:val="21"/>
        </w:rPr>
        <w:t>URS</w:t>
      </w:r>
      <w:r>
        <w:rPr>
          <w:rFonts w:hint="eastAsia" w:cs="Arial" w:asciiTheme="majorEastAsia" w:hAnsiTheme="majorEastAsia" w:eastAsiaTheme="majorEastAsia"/>
          <w:bCs/>
          <w:szCs w:val="21"/>
        </w:rPr>
        <w:t>要求不符之处必须写明响应偏离说明。</w:t>
      </w:r>
    </w:p>
    <w:p>
      <w:pPr>
        <w:tabs>
          <w:tab w:val="left" w:pos="0"/>
        </w:tabs>
        <w:rPr>
          <w:rFonts w:ascii="宋体" w:hAnsi="宋体" w:cs="Arial"/>
          <w:szCs w:val="21"/>
        </w:rPr>
      </w:pPr>
    </w:p>
    <w:p>
      <w:pPr>
        <w:pStyle w:val="2"/>
        <w:spacing w:before="156"/>
        <w:rPr>
          <w:rFonts w:asciiTheme="minorEastAsia" w:hAnsiTheme="minorEastAsia"/>
        </w:rPr>
      </w:pPr>
      <w:bookmarkStart w:id="1" w:name="_Toc354865657"/>
      <w:r>
        <w:rPr>
          <w:rFonts w:hint="eastAsia" w:asciiTheme="minorEastAsia" w:hAnsiTheme="minorEastAsia"/>
        </w:rPr>
        <w:t>零星维修项目说明</w:t>
      </w:r>
      <w:bookmarkEnd w:id="1"/>
    </w:p>
    <w:p>
      <w:pPr>
        <w:pStyle w:val="10"/>
        <w:numPr>
          <w:ilvl w:val="0"/>
          <w:numId w:val="3"/>
        </w:numPr>
        <w:tabs>
          <w:tab w:val="left" w:pos="0"/>
        </w:tabs>
        <w:ind w:firstLineChars="0"/>
        <w:rPr>
          <w:rFonts w:ascii="宋体" w:hAnsi="宋体" w:cs="Arial"/>
          <w:vanish/>
          <w:sz w:val="24"/>
        </w:rPr>
      </w:pPr>
    </w:p>
    <w:p>
      <w:pPr>
        <w:pStyle w:val="10"/>
        <w:numPr>
          <w:ilvl w:val="0"/>
          <w:numId w:val="3"/>
        </w:numPr>
        <w:tabs>
          <w:tab w:val="left" w:pos="0"/>
        </w:tabs>
        <w:ind w:firstLineChars="0"/>
        <w:rPr>
          <w:rFonts w:ascii="宋体" w:hAnsi="宋体" w:cs="Arial"/>
          <w:vanish/>
          <w:sz w:val="24"/>
        </w:rPr>
      </w:pPr>
    </w:p>
    <w:p>
      <w:pPr>
        <w:pStyle w:val="10"/>
        <w:numPr>
          <w:ilvl w:val="0"/>
          <w:numId w:val="4"/>
        </w:numPr>
        <w:ind w:firstLine="420"/>
        <w:outlineLvl w:val="2"/>
        <w:rPr>
          <w:rFonts w:cs="Arial" w:asciiTheme="minorEastAsia" w:hAnsiTheme="minorEastAsia"/>
          <w:bCs/>
          <w:szCs w:val="21"/>
        </w:rPr>
      </w:pPr>
      <w:r>
        <w:rPr>
          <w:rFonts w:hint="eastAsia" w:cs="Arial" w:asciiTheme="minorEastAsia" w:hAnsiTheme="minorEastAsia"/>
          <w:bCs/>
          <w:szCs w:val="21"/>
        </w:rPr>
        <w:t>投标人应对维修项目的零散、内容繁杂，维修及时性等特殊情况有充分了解，对工期保障、质量和安全等提出管理方案及详细措施。</w:t>
      </w:r>
    </w:p>
    <w:p>
      <w:pPr>
        <w:pStyle w:val="10"/>
        <w:numPr>
          <w:ilvl w:val="0"/>
          <w:numId w:val="4"/>
        </w:numPr>
        <w:ind w:firstLine="420"/>
        <w:outlineLvl w:val="2"/>
        <w:rPr>
          <w:rFonts w:cs="Arial" w:asciiTheme="minorEastAsia" w:hAnsiTheme="minorEastAsia"/>
          <w:bCs/>
          <w:szCs w:val="21"/>
        </w:rPr>
      </w:pPr>
      <w:r>
        <w:rPr>
          <w:rFonts w:hint="eastAsia" w:cs="Arial" w:asciiTheme="minorEastAsia" w:hAnsiTheme="minorEastAsia"/>
          <w:bCs/>
          <w:szCs w:val="21"/>
        </w:rPr>
        <w:t>本零星工程项目必须根据《建筑装饰装修工程施工质量验收规范》、《建筑地基基础工程施工质量验收规范》、《建筑工程施工现场消防安全技术规范》、《建筑工程施工质量验收统一标准》、《建筑地面工程施工质量验收规范》、《混凝土结构工程施工规范》、《建筑施工扣件式钢管脚手架安全技术规范》、《钢结构工程施工规范》要求进行维护、维修施工，并满足招标人的实际需求。</w:t>
      </w:r>
    </w:p>
    <w:p>
      <w:pPr>
        <w:pStyle w:val="10"/>
        <w:numPr>
          <w:ilvl w:val="0"/>
          <w:numId w:val="4"/>
        </w:numPr>
        <w:ind w:firstLine="420"/>
        <w:outlineLvl w:val="2"/>
        <w:rPr>
          <w:rFonts w:cs="Arial" w:asciiTheme="minorEastAsia" w:hAnsiTheme="minorEastAsia"/>
          <w:bCs/>
          <w:szCs w:val="21"/>
        </w:rPr>
      </w:pPr>
      <w:r>
        <w:rPr>
          <w:rFonts w:hint="eastAsia" w:ascii="宋体" w:hAnsi="宋体" w:cs="Arial"/>
          <w:szCs w:val="21"/>
        </w:rPr>
        <w:t>鉴于目前安全相关规定，进入办公及室外区域、生产车间进行修理改造，都需要办理相关作业证后方可施工（动火、登高、密闭作业、临时用电许可证、断能上锁等），否则依据海正药业</w:t>
      </w:r>
      <w:r>
        <w:rPr>
          <w:rFonts w:ascii="宋体" w:hAnsi="宋体" w:cs="Arial"/>
          <w:szCs w:val="21"/>
        </w:rPr>
        <w:t>EHS</w:t>
      </w:r>
      <w:r>
        <w:rPr>
          <w:rFonts w:hint="eastAsia" w:ascii="宋体" w:hAnsi="宋体" w:cs="Arial"/>
          <w:szCs w:val="21"/>
        </w:rPr>
        <w:t>管理规定罚款处理（入场前需缴纳E</w:t>
      </w:r>
      <w:r>
        <w:rPr>
          <w:rFonts w:ascii="宋体" w:hAnsi="宋体" w:cs="Arial"/>
          <w:szCs w:val="21"/>
        </w:rPr>
        <w:t>HS</w:t>
      </w:r>
      <w:r>
        <w:rPr>
          <w:rFonts w:hint="eastAsia" w:ascii="宋体" w:hAnsi="宋体" w:cs="Arial"/>
          <w:szCs w:val="21"/>
        </w:rPr>
        <w:t>抵押金），如有多次发生屡教不改者将终止服务合同。海正药业正常工作时间为周一至周五8：0</w:t>
      </w:r>
      <w:r>
        <w:rPr>
          <w:rFonts w:ascii="宋体" w:hAnsi="宋体" w:cs="Arial"/>
          <w:szCs w:val="21"/>
        </w:rPr>
        <w:t>0-17</w:t>
      </w:r>
      <w:r>
        <w:rPr>
          <w:rFonts w:hint="eastAsia" w:ascii="宋体" w:hAnsi="宋体" w:cs="Arial"/>
          <w:szCs w:val="21"/>
        </w:rPr>
        <w:t>：0</w:t>
      </w:r>
      <w:r>
        <w:rPr>
          <w:rFonts w:ascii="宋体" w:hAnsi="宋体" w:cs="Arial"/>
          <w:szCs w:val="21"/>
        </w:rPr>
        <w:t>0</w:t>
      </w:r>
      <w:r>
        <w:rPr>
          <w:rFonts w:hint="eastAsia" w:ascii="宋体" w:hAnsi="宋体" w:cs="Arial"/>
          <w:szCs w:val="21"/>
        </w:rPr>
        <w:t>，作业证开具需至少提前1天申请，并约定开证时间，开证前投标人应做好相应的准备措施，避免条件不足导致开证延迟。原则上周六、周日和节假日不建议开证，紧急工作除外；对特别紧急工作，投标人应配合晚上、节假日加急完成。投标人应在充分了解的情况下报价，原则上不存在开证导致的误工。</w:t>
      </w:r>
    </w:p>
    <w:p>
      <w:pPr>
        <w:pStyle w:val="10"/>
        <w:numPr>
          <w:ilvl w:val="0"/>
          <w:numId w:val="4"/>
        </w:numPr>
        <w:ind w:firstLine="420"/>
        <w:outlineLvl w:val="2"/>
        <w:rPr>
          <w:rFonts w:cs="Arial" w:asciiTheme="minorEastAsia" w:hAnsiTheme="minorEastAsia"/>
          <w:bCs/>
          <w:szCs w:val="21"/>
        </w:rPr>
      </w:pPr>
      <w:r>
        <w:rPr>
          <w:rFonts w:hint="eastAsia" w:ascii="宋体" w:hAnsi="宋体" w:cs="Arial"/>
          <w:szCs w:val="21"/>
        </w:rPr>
        <w:t>鉴于制药企业存在较多临时性</w:t>
      </w:r>
      <w:r>
        <w:rPr>
          <w:rFonts w:ascii="宋体" w:hAnsi="宋体" w:cs="Arial"/>
          <w:szCs w:val="21"/>
        </w:rPr>
        <w:t>GMP</w:t>
      </w:r>
      <w:r>
        <w:rPr>
          <w:rFonts w:hint="eastAsia" w:ascii="宋体" w:hAnsi="宋体" w:cs="Arial"/>
          <w:szCs w:val="21"/>
        </w:rPr>
        <w:t>和安全检查，若有要求停止施工或延迟施工的，投标人应充分配合，这种情况投标人应在综合单价中考虑，不再签署误工签证。</w:t>
      </w:r>
    </w:p>
    <w:p>
      <w:pPr>
        <w:pStyle w:val="10"/>
        <w:numPr>
          <w:ilvl w:val="0"/>
          <w:numId w:val="4"/>
        </w:numPr>
        <w:ind w:firstLine="420"/>
        <w:outlineLvl w:val="2"/>
        <w:rPr>
          <w:rFonts w:cs="Arial" w:asciiTheme="minorEastAsia" w:hAnsiTheme="minorEastAsia"/>
          <w:bCs/>
          <w:szCs w:val="21"/>
        </w:rPr>
      </w:pPr>
      <w:r>
        <w:rPr>
          <w:rFonts w:hint="eastAsia" w:ascii="宋体" w:hAnsi="宋体" w:cs="Arial"/>
          <w:szCs w:val="21"/>
        </w:rPr>
        <w:t>现场作业及管理人员，都必须持证作业。（含登高证、焊工证、电工证、安全员证等），彩钢板夹层作业需要开具登高证。焊工证要求由安监制发有效。</w:t>
      </w:r>
    </w:p>
    <w:p>
      <w:pPr>
        <w:pStyle w:val="10"/>
        <w:numPr>
          <w:ilvl w:val="0"/>
          <w:numId w:val="4"/>
        </w:numPr>
        <w:ind w:firstLine="420"/>
        <w:outlineLvl w:val="2"/>
        <w:rPr>
          <w:rFonts w:cs="Arial" w:asciiTheme="minorEastAsia" w:hAnsiTheme="minorEastAsia"/>
          <w:bCs/>
          <w:szCs w:val="21"/>
        </w:rPr>
      </w:pPr>
      <w:r>
        <w:rPr>
          <w:rFonts w:hint="eastAsia" w:ascii="宋体" w:hAnsi="宋体" w:cs="Arial"/>
          <w:szCs w:val="21"/>
        </w:rPr>
        <w:t>本次报价为下浮率，价格的优先顺序《零星工程价目表》＞定额计价＞工料组价；单个工序单价不在《零星工程价目表》中，且预算总价超过5000元的项目，必须采用定额套价（定额完全不适用的除外）。</w:t>
      </w:r>
    </w:p>
    <w:p>
      <w:pPr>
        <w:pStyle w:val="10"/>
        <w:numPr>
          <w:ilvl w:val="0"/>
          <w:numId w:val="4"/>
        </w:numPr>
        <w:ind w:firstLine="420"/>
        <w:outlineLvl w:val="2"/>
        <w:rPr>
          <w:rFonts w:cs="Arial" w:asciiTheme="minorEastAsia" w:hAnsiTheme="minorEastAsia"/>
          <w:bCs/>
          <w:szCs w:val="21"/>
        </w:rPr>
      </w:pPr>
      <w:r>
        <w:rPr>
          <w:rFonts w:hint="eastAsia" w:ascii="宋体" w:hAnsi="宋体" w:cs="Arial"/>
          <w:szCs w:val="21"/>
        </w:rPr>
        <w:t>每单零星工程都需提交施工预算，并在后期实施过程中，结算金额不得超过预算金额。</w:t>
      </w:r>
      <w:r>
        <w:rPr>
          <w:rFonts w:ascii="宋体" w:hAnsi="宋体" w:cs="Arial"/>
          <w:szCs w:val="21"/>
        </w:rPr>
        <w:t>若实际施工过程中，出现变更或者预算增加，请及时与</w:t>
      </w:r>
      <w:r>
        <w:rPr>
          <w:rFonts w:hint="eastAsia" w:ascii="宋体" w:hAnsi="宋体" w:cs="Arial"/>
          <w:szCs w:val="21"/>
        </w:rPr>
        <w:t>招标人授权的经办人</w:t>
      </w:r>
      <w:r>
        <w:rPr>
          <w:rFonts w:ascii="宋体" w:hAnsi="宋体" w:cs="Arial"/>
          <w:szCs w:val="21"/>
        </w:rPr>
        <w:t>沟通</w:t>
      </w:r>
      <w:r>
        <w:rPr>
          <w:rFonts w:hint="eastAsia" w:ascii="宋体" w:hAnsi="宋体" w:cs="Arial"/>
          <w:szCs w:val="21"/>
        </w:rPr>
        <w:t>，由招标人</w:t>
      </w:r>
      <w:r>
        <w:rPr>
          <w:rFonts w:ascii="宋体" w:hAnsi="宋体" w:cs="Arial"/>
          <w:szCs w:val="21"/>
        </w:rPr>
        <w:t>做好预算调整流程审批</w:t>
      </w:r>
      <w:r>
        <w:rPr>
          <w:rFonts w:hint="eastAsia" w:ascii="宋体" w:hAnsi="宋体" w:cs="Arial"/>
          <w:szCs w:val="21"/>
        </w:rPr>
        <w:t>，若未经审批直接施工，产生的费用投标人自担（特殊紧急情况，招标人提供快速审批凭证的除外）</w:t>
      </w:r>
      <w:r>
        <w:rPr>
          <w:rFonts w:ascii="宋体" w:hAnsi="宋体" w:cs="Arial"/>
          <w:szCs w:val="21"/>
        </w:rPr>
        <w:t>。</w:t>
      </w:r>
      <w:r>
        <w:rPr>
          <w:rFonts w:hint="eastAsia" w:ascii="宋体" w:hAnsi="宋体" w:cs="Arial"/>
          <w:color w:val="auto"/>
          <w:szCs w:val="21"/>
        </w:rPr>
        <w:t>后期送审原则上是每月汇总送审一次，待</w:t>
      </w:r>
      <w:r>
        <w:rPr>
          <w:rFonts w:hint="eastAsia" w:ascii="宋体" w:hAnsi="宋体" w:cs="Arial"/>
          <w:szCs w:val="21"/>
        </w:rPr>
        <w:t>审计确认后，方可进入付款相关程序。</w:t>
      </w:r>
    </w:p>
    <w:p>
      <w:pPr>
        <w:numPr>
          <w:ilvl w:val="0"/>
          <w:numId w:val="4"/>
        </w:numPr>
        <w:spacing w:line="360" w:lineRule="auto"/>
        <w:ind w:firstLine="420" w:firstLineChars="200"/>
        <w:rPr>
          <w:rFonts w:ascii="宋体" w:hAnsi="宋体" w:eastAsia="宋体"/>
          <w:color w:val="333333"/>
          <w:sz w:val="24"/>
          <w:szCs w:val="24"/>
        </w:rPr>
      </w:pPr>
      <w:r>
        <w:rPr>
          <w:rFonts w:ascii="宋体" w:hAnsi="宋体" w:cs="Arial"/>
          <w:szCs w:val="21"/>
        </w:rPr>
        <w:t>业主负责提供服务所需的水、电</w:t>
      </w:r>
      <w:r>
        <w:rPr>
          <w:rFonts w:hint="eastAsia" w:ascii="宋体" w:hAnsi="宋体" w:cs="Arial"/>
          <w:szCs w:val="21"/>
        </w:rPr>
        <w:t>，</w:t>
      </w:r>
      <w:r>
        <w:rPr>
          <w:rFonts w:ascii="宋体" w:hAnsi="宋体" w:cs="Arial"/>
          <w:szCs w:val="21"/>
        </w:rPr>
        <w:t>施工方负责提供服务所需的材料、工具。</w:t>
      </w:r>
      <w:r>
        <w:rPr>
          <w:rFonts w:hint="eastAsia" w:ascii="宋体" w:hAnsi="宋体" w:cs="Arial"/>
          <w:szCs w:val="21"/>
        </w:rPr>
        <w:t>按定额结算部分，</w:t>
      </w:r>
      <w:r>
        <w:rPr>
          <w:rFonts w:ascii="宋体" w:hAnsi="宋体" w:cs="Arial"/>
          <w:szCs w:val="21"/>
        </w:rPr>
        <w:t>结算时水电数量按定额扣回，全额返还业主。</w:t>
      </w:r>
    </w:p>
    <w:p>
      <w:pPr>
        <w:snapToGrid w:val="0"/>
        <w:spacing w:before="60" w:after="60" w:line="360" w:lineRule="auto"/>
        <w:rPr>
          <w:rFonts w:ascii="宋体" w:hAnsi="宋体" w:eastAsia="宋体"/>
          <w:color w:val="333333"/>
          <w:sz w:val="24"/>
          <w:szCs w:val="24"/>
        </w:rPr>
      </w:pPr>
      <w:r>
        <w:rPr>
          <w:rFonts w:hint="eastAsia"/>
          <w:highlight w:val="yellow"/>
        </w:rPr>
        <w:t>潜在供应商报名资料发送指定邮箱后，采购代理机构发送详细要求（URS）。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0424D"/>
    <w:multiLevelType w:val="singleLevel"/>
    <w:tmpl w:val="8D60424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1C9416A"/>
    <w:multiLevelType w:val="singleLevel"/>
    <w:tmpl w:val="11C9416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25E74A3C"/>
    <w:multiLevelType w:val="multilevel"/>
    <w:tmpl w:val="25E74A3C"/>
    <w:lvl w:ilvl="0" w:tentative="0">
      <w:start w:val="1"/>
      <w:numFmt w:val="decimal"/>
      <w:pStyle w:val="2"/>
      <w:lvlText w:val="%1"/>
      <w:lvlJc w:val="left"/>
      <w:pPr>
        <w:ind w:left="567" w:hanging="567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EA271D0"/>
    <w:multiLevelType w:val="multilevel"/>
    <w:tmpl w:val="4EA271D0"/>
    <w:lvl w:ilvl="0" w:tentative="0">
      <w:start w:val="1"/>
      <w:numFmt w:val="decimal"/>
      <w:lvlText w:val="%1."/>
      <w:lvlJc w:val="left"/>
      <w:pPr>
        <w:ind w:left="610" w:hanging="585"/>
      </w:pPr>
      <w:rPr>
        <w:rFonts w:hint="default" w:ascii="Arial"/>
        <w:b/>
      </w:rPr>
    </w:lvl>
    <w:lvl w:ilvl="1" w:tentative="0">
      <w:start w:val="1"/>
      <w:numFmt w:val="decimal"/>
      <w:lvlText w:val="%1.%2、"/>
      <w:lvlJc w:val="left"/>
      <w:pPr>
        <w:ind w:left="1029" w:hanging="720"/>
      </w:pPr>
      <w:rPr>
        <w:rFonts w:hint="default" w:ascii="Arial" w:hAnsi="Arial" w:cs="Arial"/>
        <w:b/>
      </w:rPr>
    </w:lvl>
    <w:lvl w:ilvl="2" w:tentative="0">
      <w:start w:val="1"/>
      <w:numFmt w:val="decimal"/>
      <w:lvlText w:val="%1.%2、%3."/>
      <w:lvlJc w:val="left"/>
      <w:pPr>
        <w:ind w:left="1673" w:hanging="1080"/>
      </w:pPr>
      <w:rPr>
        <w:rFonts w:hint="default" w:ascii="Arial"/>
        <w:b/>
      </w:rPr>
    </w:lvl>
    <w:lvl w:ilvl="3" w:tentative="0">
      <w:start w:val="1"/>
      <w:numFmt w:val="decimal"/>
      <w:lvlText w:val="%1.%2、%3.%4."/>
      <w:lvlJc w:val="left"/>
      <w:pPr>
        <w:ind w:left="1957" w:hanging="1080"/>
      </w:pPr>
      <w:rPr>
        <w:rFonts w:hint="default" w:ascii="Arial"/>
        <w:b/>
      </w:rPr>
    </w:lvl>
    <w:lvl w:ilvl="4" w:tentative="0">
      <w:start w:val="1"/>
      <w:numFmt w:val="decimal"/>
      <w:lvlText w:val="%1.%2、%3.%4.%5."/>
      <w:lvlJc w:val="left"/>
      <w:pPr>
        <w:ind w:left="2601" w:hanging="1440"/>
      </w:pPr>
      <w:rPr>
        <w:rFonts w:hint="default" w:ascii="Arial"/>
        <w:b/>
      </w:rPr>
    </w:lvl>
    <w:lvl w:ilvl="5" w:tentative="0">
      <w:start w:val="1"/>
      <w:numFmt w:val="decimal"/>
      <w:lvlText w:val="%1.%2、%3.%4.%5.%6."/>
      <w:lvlJc w:val="left"/>
      <w:pPr>
        <w:ind w:left="3245" w:hanging="1800"/>
      </w:pPr>
      <w:rPr>
        <w:rFonts w:hint="default" w:ascii="Arial"/>
        <w:b/>
      </w:rPr>
    </w:lvl>
    <w:lvl w:ilvl="6" w:tentative="0">
      <w:start w:val="1"/>
      <w:numFmt w:val="decimal"/>
      <w:lvlText w:val="%1.%2、%3.%4.%5.%6.%7."/>
      <w:lvlJc w:val="left"/>
      <w:pPr>
        <w:ind w:left="3529" w:hanging="1800"/>
      </w:pPr>
      <w:rPr>
        <w:rFonts w:hint="default" w:ascii="Arial"/>
        <w:b/>
      </w:rPr>
    </w:lvl>
    <w:lvl w:ilvl="7" w:tentative="0">
      <w:start w:val="1"/>
      <w:numFmt w:val="decimal"/>
      <w:lvlText w:val="%1.%2、%3.%4.%5.%6.%7.%8."/>
      <w:lvlJc w:val="left"/>
      <w:pPr>
        <w:ind w:left="4173" w:hanging="2160"/>
      </w:pPr>
      <w:rPr>
        <w:rFonts w:hint="default" w:ascii="Arial"/>
        <w:b/>
      </w:rPr>
    </w:lvl>
    <w:lvl w:ilvl="8" w:tentative="0">
      <w:start w:val="1"/>
      <w:numFmt w:val="decimal"/>
      <w:lvlText w:val="%1.%2、%3.%4.%5.%6.%7.%8.%9."/>
      <w:lvlJc w:val="left"/>
      <w:pPr>
        <w:ind w:left="4817" w:hanging="2520"/>
      </w:pPr>
      <w:rPr>
        <w:rFonts w:hint="default" w:ascii="Arial"/>
        <w:b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2ZDU2ODg5MmE5NDlmNmJjNzhhYmE0N2M1ZmRhMzEifQ=="/>
  </w:docVars>
  <w:rsids>
    <w:rsidRoot w:val="1ADF3F6C"/>
    <w:rsid w:val="00047CC5"/>
    <w:rsid w:val="00D97963"/>
    <w:rsid w:val="00EA5325"/>
    <w:rsid w:val="1ADF3F6C"/>
    <w:rsid w:val="3867067F"/>
    <w:rsid w:val="394626CC"/>
    <w:rsid w:val="3C171C7C"/>
    <w:rsid w:val="472A535B"/>
    <w:rsid w:val="54DF03D3"/>
    <w:rsid w:val="5B212295"/>
    <w:rsid w:val="6B5F3038"/>
    <w:rsid w:val="6F84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709"/>
      </w:tabs>
      <w:spacing w:beforeLines="50"/>
      <w:outlineLvl w:val="0"/>
    </w:pPr>
    <w:rPr>
      <w:b/>
      <w:sz w:val="2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rPr>
      <w:sz w:val="24"/>
      <w:szCs w:val="20"/>
      <w:lang w:eastAsia="en-US"/>
    </w:rPr>
  </w:style>
  <w:style w:type="paragraph" w:styleId="4">
    <w:name w:val="footer"/>
    <w:basedOn w:val="1"/>
    <w:qFormat/>
    <w:uiPriority w:val="99"/>
    <w:pPr>
      <w:tabs>
        <w:tab w:val="center" w:pos="4320"/>
        <w:tab w:val="right" w:pos="8640"/>
      </w:tabs>
    </w:pPr>
    <w:rPr>
      <w:rFonts w:eastAsia="楷体_GB2312"/>
      <w:szCs w:val="20"/>
    </w:rPr>
  </w:style>
  <w:style w:type="paragraph" w:styleId="5">
    <w:name w:val="header"/>
    <w:basedOn w:val="1"/>
    <w:qFormat/>
    <w:uiPriority w:val="99"/>
    <w:pPr>
      <w:tabs>
        <w:tab w:val="center" w:pos="4320"/>
        <w:tab w:val="right" w:pos="8640"/>
      </w:tabs>
    </w:pPr>
    <w:rPr>
      <w:rFonts w:eastAsia="楷体_GB2312"/>
      <w:szCs w:val="20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annotation reference"/>
    <w:basedOn w:val="7"/>
    <w:uiPriority w:val="0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1405</Words>
  <Characters>1487</Characters>
  <Lines>10</Lines>
  <Paragraphs>3</Paragraphs>
  <TotalTime>18</TotalTime>
  <ScaleCrop>false</ScaleCrop>
  <LinksUpToDate>false</LinksUpToDate>
  <CharactersWithSpaces>1490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2023-04-23T06:41:00Z</dcterms:created>
  <dc:creator>杨开</dc:creator>
  <cp:lastModifiedBy>周正辉</cp:lastModifiedBy>
  <dcterms:modified xsi:type="dcterms:W3CDTF">2023-06-07T06:00:44Z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39566C9901874ABE8D6EBF9D300D6AA8_13</vt:lpwstr>
  </property>
</Properties>
</file>