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/>
        <w:rPr>
          <w:rFonts w:asciiTheme="minorEastAsia" w:hAnsiTheme="minorEastAsia" w:eastAsiaTheme="minorEastAsia"/>
        </w:rPr>
      </w:pPr>
      <w:bookmarkStart w:id="0" w:name="_Toc44921836"/>
      <w:r>
        <w:rPr>
          <w:rFonts w:hint="eastAsia" w:asciiTheme="minorEastAsia" w:hAnsiTheme="minorEastAsia" w:eastAsiaTheme="minorEastAsia"/>
        </w:rPr>
        <w:t>目的</w:t>
      </w:r>
      <w:r>
        <w:rPr>
          <w:rFonts w:asciiTheme="minorEastAsia" w:hAnsiTheme="minorEastAsia" w:eastAsiaTheme="minorEastAsia"/>
        </w:rPr>
        <w:t>和范围</w:t>
      </w:r>
      <w:r>
        <w:rPr>
          <w:rFonts w:hint="eastAsia" w:asciiTheme="minorEastAsia" w:hAnsiTheme="minorEastAsia" w:eastAsiaTheme="minorEastAsia"/>
        </w:rPr>
        <w:t>/Purpose</w:t>
      </w:r>
      <w:r>
        <w:rPr>
          <w:rFonts w:asciiTheme="minorEastAsia" w:hAnsiTheme="minorEastAsia" w:eastAsiaTheme="minorEastAsia"/>
        </w:rPr>
        <w:t xml:space="preserve"> and Scope</w:t>
      </w:r>
      <w:bookmarkEnd w:id="0"/>
    </w:p>
    <w:p>
      <w:pPr>
        <w:pStyle w:val="7"/>
        <w:widowControl w:val="0"/>
        <w:numPr>
          <w:ilvl w:val="1"/>
          <w:numId w:val="2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本</w:t>
      </w:r>
      <w:r>
        <w:rPr>
          <w:rFonts w:ascii="宋体" w:hAnsi="宋体" w:cs="Arial"/>
          <w:sz w:val="24"/>
        </w:rPr>
        <w:t>URS</w:t>
      </w:r>
      <w:r>
        <w:rPr>
          <w:rFonts w:ascii="宋体" w:hAnsi="宋体" w:cs="Arial"/>
          <w:kern w:val="2"/>
          <w:sz w:val="24"/>
        </w:rPr>
        <w:t>是对</w:t>
      </w:r>
      <w:r>
        <w:rPr>
          <w:rFonts w:hint="eastAsia" w:ascii="宋体" w:hAnsi="宋体" w:cs="Arial"/>
          <w:sz w:val="24"/>
        </w:rPr>
        <w:t>浙江</w:t>
      </w:r>
      <w:r>
        <w:rPr>
          <w:rFonts w:hint="eastAsia" w:ascii="宋体" w:hAnsi="宋体" w:cs="Arial"/>
          <w:kern w:val="2"/>
          <w:sz w:val="24"/>
        </w:rPr>
        <w:t>海正药业股份有限公司浙江台州、浙江杭州富阳、江苏南通三个厂区</w:t>
      </w:r>
      <w:r>
        <w:rPr>
          <w:rFonts w:ascii="宋体" w:hAnsi="宋体" w:cs="Arial"/>
          <w:kern w:val="2"/>
          <w:sz w:val="24"/>
        </w:rPr>
        <w:t>零星</w:t>
      </w:r>
      <w:r>
        <w:rPr>
          <w:rFonts w:hint="eastAsia" w:ascii="宋体" w:hAnsi="宋体" w:cs="Arial"/>
          <w:kern w:val="2"/>
          <w:sz w:val="24"/>
        </w:rPr>
        <w:t>保温</w:t>
      </w:r>
      <w:r>
        <w:rPr>
          <w:rFonts w:ascii="宋体" w:hAnsi="宋体" w:cs="Arial"/>
          <w:kern w:val="2"/>
          <w:sz w:val="24"/>
        </w:rPr>
        <w:t>、</w:t>
      </w:r>
      <w:r>
        <w:rPr>
          <w:rFonts w:hint="eastAsia" w:ascii="宋体" w:hAnsi="宋体" w:cs="Arial"/>
          <w:kern w:val="2"/>
          <w:sz w:val="24"/>
        </w:rPr>
        <w:t>油漆</w:t>
      </w:r>
      <w:r>
        <w:rPr>
          <w:rFonts w:ascii="宋体" w:hAnsi="宋体" w:cs="Arial"/>
          <w:kern w:val="2"/>
          <w:sz w:val="24"/>
        </w:rPr>
        <w:t>服务的期望和要求</w:t>
      </w:r>
      <w:r>
        <w:rPr>
          <w:rFonts w:hint="eastAsia" w:ascii="宋体" w:hAnsi="宋体" w:cs="Arial"/>
          <w:kern w:val="2"/>
          <w:sz w:val="24"/>
        </w:rPr>
        <w:t>，</w:t>
      </w:r>
      <w:r>
        <w:rPr>
          <w:rFonts w:hint="eastAsia" w:ascii="宋体" w:hAnsi="宋体" w:cs="Arial"/>
          <w:sz w:val="24"/>
        </w:rPr>
        <w:t>用于指导采购活动。</w:t>
      </w:r>
      <w:r>
        <w:rPr>
          <w:rFonts w:hint="eastAsia" w:ascii="宋体" w:hAnsi="宋体" w:cs="Arial"/>
          <w:kern w:val="2"/>
          <w:sz w:val="24"/>
        </w:rPr>
        <w:t>。</w:t>
      </w:r>
    </w:p>
    <w:p>
      <w:pPr>
        <w:pStyle w:val="7"/>
        <w:widowControl w:val="0"/>
        <w:numPr>
          <w:ilvl w:val="1"/>
          <w:numId w:val="2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本URS目的是提出采购供应、制造、维修安装、调试</w:t>
      </w:r>
      <w:r>
        <w:rPr>
          <w:rFonts w:ascii="宋体" w:hAnsi="宋体" w:cs="Arial"/>
          <w:sz w:val="24"/>
        </w:rPr>
        <w:t>/</w:t>
      </w:r>
      <w:r>
        <w:rPr>
          <w:rFonts w:hint="eastAsia" w:ascii="宋体" w:hAnsi="宋体" w:cs="Arial"/>
          <w:sz w:val="24"/>
        </w:rPr>
        <w:t>测试、确认、验收和交付及质量保修、工程培训的相关要求。投标人须根据这些相关要求进行投标，任何</w:t>
      </w:r>
      <w:r>
        <w:rPr>
          <w:rFonts w:hint="eastAsia" w:ascii="宋体" w:hAnsi="宋体" w:cs="Arial"/>
          <w:b/>
          <w:bCs/>
          <w:sz w:val="24"/>
        </w:rPr>
        <w:t>与本</w:t>
      </w:r>
      <w:r>
        <w:rPr>
          <w:rFonts w:ascii="宋体" w:hAnsi="宋体" w:cs="Arial"/>
          <w:b/>
          <w:bCs/>
          <w:sz w:val="24"/>
        </w:rPr>
        <w:t>URS</w:t>
      </w:r>
      <w:r>
        <w:rPr>
          <w:rFonts w:hint="eastAsia" w:ascii="宋体" w:hAnsi="宋体" w:cs="Arial"/>
          <w:b/>
          <w:bCs/>
          <w:sz w:val="24"/>
        </w:rPr>
        <w:t>要求不符之处必须写明响应偏离说明</w:t>
      </w:r>
      <w:r>
        <w:rPr>
          <w:rFonts w:hint="eastAsia" w:ascii="宋体" w:hAnsi="宋体" w:cs="Arial"/>
          <w:sz w:val="24"/>
        </w:rPr>
        <w:t>。</w:t>
      </w:r>
    </w:p>
    <w:p>
      <w:pPr>
        <w:outlineLvl w:val="0"/>
        <w:rPr>
          <w:rFonts w:cs="Arial" w:asciiTheme="minorEastAsia" w:hAnsiTheme="minorEastAsia" w:eastAsiaTheme="minorEastAsia"/>
          <w:b/>
          <w:sz w:val="24"/>
        </w:rPr>
      </w:pPr>
      <w:bookmarkStart w:id="1" w:name="_Toc354865657"/>
      <w:r>
        <w:rPr>
          <w:rFonts w:cs="Arial" w:asciiTheme="minorEastAsia" w:hAnsiTheme="minorEastAsia" w:eastAsiaTheme="minorEastAsia"/>
          <w:b/>
          <w:sz w:val="24"/>
        </w:rPr>
        <w:t>2.</w:t>
      </w:r>
      <w:r>
        <w:rPr>
          <w:rFonts w:hint="eastAsia" w:cs="Arial" w:asciiTheme="minorEastAsia" w:hAnsiTheme="minorEastAsia" w:eastAsiaTheme="minorEastAsia"/>
          <w:b/>
          <w:sz w:val="24"/>
        </w:rPr>
        <w:t xml:space="preserve"> 零星维修项目说明</w:t>
      </w:r>
      <w:bookmarkEnd w:id="1"/>
    </w:p>
    <w:p>
      <w:pPr>
        <w:pStyle w:val="7"/>
        <w:widowControl w:val="0"/>
        <w:numPr>
          <w:ilvl w:val="0"/>
          <w:numId w:val="3"/>
        </w:numPr>
        <w:tabs>
          <w:tab w:val="left" w:pos="0"/>
        </w:tabs>
        <w:ind w:firstLineChars="0"/>
        <w:rPr>
          <w:rFonts w:ascii="宋体" w:hAnsi="宋体" w:cs="Arial"/>
          <w:vanish/>
          <w:sz w:val="24"/>
        </w:rPr>
      </w:pPr>
    </w:p>
    <w:p>
      <w:pPr>
        <w:pStyle w:val="7"/>
        <w:widowControl w:val="0"/>
        <w:numPr>
          <w:ilvl w:val="0"/>
          <w:numId w:val="3"/>
        </w:numPr>
        <w:tabs>
          <w:tab w:val="left" w:pos="0"/>
        </w:tabs>
        <w:ind w:firstLineChars="0"/>
        <w:rPr>
          <w:rFonts w:ascii="宋体" w:hAnsi="宋体" w:cs="Arial"/>
          <w:vanish/>
          <w:sz w:val="24"/>
        </w:rPr>
      </w:pPr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投标人应对维修项目的零散、内容繁杂，维修及时性等特殊情况有充分了解，对工期保障、质量和安全等提出管理方案及详细措施。</w:t>
      </w:r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本零星工程项目必须根据现行版G</w:t>
      </w:r>
      <w:r>
        <w:rPr>
          <w:rFonts w:ascii="宋体" w:hAnsi="宋体" w:cs="Arial"/>
          <w:sz w:val="24"/>
        </w:rPr>
        <w:t>B50126</w:t>
      </w:r>
      <w:r>
        <w:rPr>
          <w:rFonts w:hint="eastAsia" w:ascii="宋体" w:hAnsi="宋体" w:cs="Arial"/>
          <w:sz w:val="24"/>
        </w:rPr>
        <w:t>《工业设备及管道绝热工程施工规范》、GB/T 50046《工业建筑防腐蚀设计规范》、SH/T 3022《石油化工设备和管道涂料防腐蚀设计规范》要求进行维护、维修施工，并满足招标人的实际需求。</w:t>
      </w:r>
      <w:bookmarkStart w:id="2" w:name="_GoBack"/>
      <w:bookmarkEnd w:id="2"/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鉴于目前安全相关规定，进入车间进行修理改造，都需要办理相关作业证后方可施工（动火、登高、密闭作业、临时用电许可证、断能上锁等），否则依据海正药业</w:t>
      </w:r>
      <w:r>
        <w:rPr>
          <w:rFonts w:ascii="宋体" w:hAnsi="宋体" w:cs="Arial"/>
          <w:sz w:val="24"/>
        </w:rPr>
        <w:t>EHS</w:t>
      </w:r>
      <w:r>
        <w:rPr>
          <w:rFonts w:hint="eastAsia" w:ascii="宋体" w:hAnsi="宋体" w:cs="Arial"/>
          <w:sz w:val="24"/>
        </w:rPr>
        <w:t>管理规定罚款处理（入场前需缴纳E</w:t>
      </w:r>
      <w:r>
        <w:rPr>
          <w:rFonts w:ascii="宋体" w:hAnsi="宋体" w:cs="Arial"/>
          <w:sz w:val="24"/>
        </w:rPr>
        <w:t>HS</w:t>
      </w:r>
      <w:r>
        <w:rPr>
          <w:rFonts w:hint="eastAsia" w:ascii="宋体" w:hAnsi="宋体" w:cs="Arial"/>
          <w:sz w:val="24"/>
        </w:rPr>
        <w:t>抵押金），如有多次发生屡教不改者将终止服务合同。海正药业正常工作时间为周一至周五8：0</w:t>
      </w:r>
      <w:r>
        <w:rPr>
          <w:rFonts w:ascii="宋体" w:hAnsi="宋体" w:cs="Arial"/>
          <w:sz w:val="24"/>
        </w:rPr>
        <w:t>0-17</w:t>
      </w:r>
      <w:r>
        <w:rPr>
          <w:rFonts w:hint="eastAsia" w:ascii="宋体" w:hAnsi="宋体" w:cs="Arial"/>
          <w:sz w:val="24"/>
        </w:rPr>
        <w:t>：0</w:t>
      </w:r>
      <w:r>
        <w:rPr>
          <w:rFonts w:ascii="宋体" w:hAnsi="宋体" w:cs="Arial"/>
          <w:sz w:val="24"/>
        </w:rPr>
        <w:t>0</w:t>
      </w:r>
      <w:r>
        <w:rPr>
          <w:rFonts w:hint="eastAsia" w:ascii="宋体" w:hAnsi="宋体" w:cs="Arial"/>
          <w:sz w:val="24"/>
        </w:rPr>
        <w:t>，作业证开具需至少提前1天申请，并约定开证时间，开证前投标人应做好相应的准备措施，避免条件不足导致开证延迟。</w:t>
      </w:r>
      <w:r>
        <w:rPr>
          <w:rFonts w:hint="eastAsia" w:ascii="宋体" w:hAnsi="宋体" w:cs="Arial"/>
          <w:b/>
          <w:bCs/>
          <w:sz w:val="24"/>
          <w:highlight w:val="none"/>
        </w:rPr>
        <w:t>原则上周六、周日和节假日不允许进行特殊许可作业，紧急工作除外；</w:t>
      </w:r>
      <w:r>
        <w:rPr>
          <w:rFonts w:hint="eastAsia" w:ascii="宋体" w:hAnsi="宋体" w:cs="Arial"/>
          <w:sz w:val="24"/>
          <w:highlight w:val="none"/>
        </w:rPr>
        <w:t>对特别</w:t>
      </w:r>
      <w:r>
        <w:rPr>
          <w:rFonts w:hint="eastAsia" w:ascii="宋体" w:hAnsi="宋体" w:cs="Arial"/>
          <w:sz w:val="24"/>
        </w:rPr>
        <w:t>紧急工作，投标人应配合晚上、节假日加急完成。投标人应在充分了解的情况下报价，原则上不存在开证导致的误工。</w:t>
      </w:r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鉴于制药企业存在较多临时性</w:t>
      </w:r>
      <w:r>
        <w:rPr>
          <w:rFonts w:ascii="宋体" w:hAnsi="宋体" w:cs="Arial"/>
          <w:sz w:val="24"/>
        </w:rPr>
        <w:t>GMP</w:t>
      </w:r>
      <w:r>
        <w:rPr>
          <w:rFonts w:hint="eastAsia" w:ascii="宋体" w:hAnsi="宋体" w:cs="Arial"/>
          <w:sz w:val="24"/>
        </w:rPr>
        <w:t>和安全检查，若有要求停止施工或延迟施工的，投标人应充分配合，这种情况投标人应在综合单价中考虑，不再签署误工签证。</w:t>
      </w:r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现场作业及管理人员，都必须持证（如登高证、焊工证、电工证、安全员证等）作业，彩钢板夹层作业需要开具登高证。焊工证要求由安监制发有效。</w:t>
      </w:r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本次报价为综合单价（包含人、材、机、管理、利润、规费、税费等一切费用）。不论单次维修金额的大小，工程量多少，都应按合同综合单价计费。</w:t>
      </w:r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每单零星工程都需提交施工预算，并在后期实施过程中，结算金额不得超过预算金额。</w:t>
      </w:r>
      <w:r>
        <w:rPr>
          <w:rFonts w:ascii="宋体" w:hAnsi="宋体" w:cs="Arial"/>
          <w:sz w:val="24"/>
        </w:rPr>
        <w:t>若实际施工过程中，出现变更或者预算增加，请及时与</w:t>
      </w:r>
      <w:r>
        <w:rPr>
          <w:rFonts w:hint="eastAsia" w:ascii="宋体" w:hAnsi="宋体" w:cs="Arial"/>
          <w:sz w:val="24"/>
        </w:rPr>
        <w:t>招标人授权的经办人</w:t>
      </w:r>
      <w:r>
        <w:rPr>
          <w:rFonts w:ascii="宋体" w:hAnsi="宋体" w:cs="Arial"/>
          <w:sz w:val="24"/>
        </w:rPr>
        <w:t>沟通</w:t>
      </w:r>
      <w:r>
        <w:rPr>
          <w:rFonts w:hint="eastAsia" w:ascii="宋体" w:hAnsi="宋体" w:cs="Arial"/>
          <w:sz w:val="24"/>
        </w:rPr>
        <w:t>，由招标人</w:t>
      </w:r>
      <w:r>
        <w:rPr>
          <w:rFonts w:ascii="宋体" w:hAnsi="宋体" w:cs="Arial"/>
          <w:sz w:val="24"/>
        </w:rPr>
        <w:t>做好预算调整流程审批</w:t>
      </w:r>
      <w:r>
        <w:rPr>
          <w:rFonts w:hint="eastAsia" w:ascii="宋体" w:hAnsi="宋体" w:cs="Arial"/>
          <w:sz w:val="24"/>
        </w:rPr>
        <w:t>，若未经审批直接施工，产生的费用投标人自担（特殊紧急情况，招标人提供快速审批凭证的除外）</w:t>
      </w:r>
      <w:r>
        <w:rPr>
          <w:rFonts w:ascii="宋体" w:hAnsi="宋体" w:cs="Arial"/>
          <w:sz w:val="24"/>
        </w:rPr>
        <w:t>。</w:t>
      </w:r>
      <w:r>
        <w:rPr>
          <w:rFonts w:hint="eastAsia" w:ascii="宋体" w:hAnsi="宋体" w:cs="Arial"/>
          <w:sz w:val="24"/>
        </w:rPr>
        <w:t>后期送审原则上是每季度汇总送审一次，待审计确认后，方可进入付款相关程序。</w:t>
      </w:r>
    </w:p>
    <w:p>
      <w:pPr>
        <w:pStyle w:val="7"/>
        <w:widowControl w:val="0"/>
        <w:numPr>
          <w:ilvl w:val="1"/>
          <w:numId w:val="3"/>
        </w:numPr>
        <w:tabs>
          <w:tab w:val="left" w:pos="0"/>
        </w:tabs>
        <w:ind w:firstLineChars="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业主负责提供服务所需的水、电</w:t>
      </w:r>
      <w:r>
        <w:rPr>
          <w:rFonts w:hint="eastAsia" w:ascii="宋体" w:hAnsi="宋体" w:cs="Arial"/>
          <w:sz w:val="24"/>
        </w:rPr>
        <w:t>，</w:t>
      </w:r>
      <w:r>
        <w:rPr>
          <w:rFonts w:ascii="宋体" w:hAnsi="宋体" w:cs="Arial"/>
          <w:sz w:val="24"/>
        </w:rPr>
        <w:t>施工方负责提供服务所需的材料、工具</w:t>
      </w:r>
      <w:r>
        <w:rPr>
          <w:rFonts w:hint="eastAsia" w:ascii="宋体" w:hAnsi="宋体" w:cs="Arial"/>
          <w:sz w:val="24"/>
        </w:rPr>
        <w:t>、机械、人员</w:t>
      </w:r>
      <w:r>
        <w:rPr>
          <w:rFonts w:ascii="宋体" w:hAnsi="宋体" w:cs="Arial"/>
          <w:sz w:val="24"/>
        </w:rPr>
        <w:t>。</w:t>
      </w:r>
      <w:r>
        <w:rPr>
          <w:rFonts w:hint="eastAsia" w:ascii="宋体" w:hAnsi="宋体" w:cs="Arial"/>
          <w:sz w:val="24"/>
        </w:rPr>
        <w:t>按定额结算部分，</w:t>
      </w:r>
      <w:r>
        <w:rPr>
          <w:rFonts w:ascii="宋体" w:hAnsi="宋体" w:cs="Arial"/>
          <w:sz w:val="24"/>
        </w:rPr>
        <w:t>结算时水电数量按定额扣回，全额返还业主。</w:t>
      </w:r>
    </w:p>
    <w:p>
      <w:pPr>
        <w:rPr>
          <w:rFonts w:hint="eastAsia"/>
          <w:color w:val="auto"/>
          <w:sz w:val="21"/>
          <w:szCs w:val="21"/>
          <w:highlight w:val="yellow"/>
          <w:lang w:val="en-US" w:eastAsia="zh-CN"/>
        </w:rPr>
      </w:pPr>
    </w:p>
    <w:p>
      <w:r>
        <w:rPr>
          <w:rFonts w:hint="eastAsia"/>
          <w:color w:val="auto"/>
          <w:sz w:val="21"/>
          <w:szCs w:val="21"/>
          <w:highlight w:val="yellow"/>
          <w:lang w:val="en-US" w:eastAsia="zh-CN"/>
        </w:rPr>
        <w:t>报名截止后</w:t>
      </w:r>
      <w:r>
        <w:rPr>
          <w:rFonts w:hint="eastAsia"/>
          <w:color w:val="auto"/>
          <w:sz w:val="21"/>
          <w:szCs w:val="21"/>
          <w:highlight w:val="yellow"/>
        </w:rPr>
        <w:t>，</w:t>
      </w:r>
      <w:r>
        <w:rPr>
          <w:rFonts w:hint="eastAsia"/>
          <w:color w:val="auto"/>
          <w:sz w:val="21"/>
          <w:szCs w:val="21"/>
          <w:highlight w:val="yellow"/>
          <w:lang w:val="en-US" w:eastAsia="zh-CN"/>
        </w:rPr>
        <w:t>采购人对供应商进行初步审查（非最终审查），初步审查通过的供应商，由</w:t>
      </w:r>
      <w:r>
        <w:rPr>
          <w:rFonts w:hint="eastAsia"/>
          <w:color w:val="auto"/>
          <w:sz w:val="21"/>
          <w:szCs w:val="21"/>
          <w:highlight w:val="yellow"/>
        </w:rPr>
        <w:t>采购代理机构</w:t>
      </w:r>
      <w:r>
        <w:rPr>
          <w:rFonts w:hint="eastAsia"/>
          <w:color w:val="auto"/>
          <w:sz w:val="21"/>
          <w:szCs w:val="21"/>
          <w:highlight w:val="yellow"/>
          <w:lang w:val="en-US" w:eastAsia="zh-CN"/>
        </w:rPr>
        <w:t>和其</w:t>
      </w:r>
      <w:r>
        <w:rPr>
          <w:rFonts w:hint="eastAsia"/>
          <w:color w:val="auto"/>
          <w:sz w:val="21"/>
          <w:szCs w:val="21"/>
          <w:highlight w:val="yellow"/>
        </w:rPr>
        <w:t>发送详细要求（URS）</w:t>
      </w:r>
      <w:r>
        <w:rPr>
          <w:rFonts w:hint="eastAsia"/>
          <w:color w:val="auto"/>
          <w:highlight w:val="yellow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4A3C"/>
    <w:multiLevelType w:val="multilevel"/>
    <w:tmpl w:val="25E74A3C"/>
    <w:lvl w:ilvl="0" w:tentative="0">
      <w:start w:val="1"/>
      <w:numFmt w:val="decimal"/>
      <w:pStyle w:val="2"/>
      <w:lvlText w:val="%1"/>
      <w:lvlJc w:val="left"/>
      <w:pPr>
        <w:ind w:left="567" w:hanging="567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EA271D0"/>
    <w:multiLevelType w:val="multilevel"/>
    <w:tmpl w:val="4EA271D0"/>
    <w:lvl w:ilvl="0" w:tentative="0">
      <w:start w:val="1"/>
      <w:numFmt w:val="decimal"/>
      <w:lvlText w:val="%1."/>
      <w:lvlJc w:val="left"/>
      <w:pPr>
        <w:ind w:left="585" w:hanging="585"/>
      </w:pPr>
      <w:rPr>
        <w:rFonts w:hint="default" w:ascii="Arial"/>
        <w:b/>
      </w:rPr>
    </w:lvl>
    <w:lvl w:ilvl="1" w:tentative="0">
      <w:start w:val="1"/>
      <w:numFmt w:val="decimal"/>
      <w:lvlText w:val="%1.%2、"/>
      <w:lvlJc w:val="left"/>
      <w:pPr>
        <w:ind w:left="1004" w:hanging="720"/>
      </w:pPr>
      <w:rPr>
        <w:rFonts w:hint="default" w:ascii="Arial" w:hAnsi="Arial" w:cs="Arial"/>
        <w:b/>
      </w:rPr>
    </w:lvl>
    <w:lvl w:ilvl="2" w:tentative="0">
      <w:start w:val="1"/>
      <w:numFmt w:val="decimal"/>
      <w:lvlText w:val="%1.%2、%3."/>
      <w:lvlJc w:val="left"/>
      <w:pPr>
        <w:ind w:left="1648" w:hanging="1080"/>
      </w:pPr>
      <w:rPr>
        <w:rFonts w:hint="default" w:ascii="Arial"/>
        <w:b/>
      </w:rPr>
    </w:lvl>
    <w:lvl w:ilvl="3" w:tentative="0">
      <w:start w:val="1"/>
      <w:numFmt w:val="decimal"/>
      <w:lvlText w:val="%1.%2、%3.%4."/>
      <w:lvlJc w:val="left"/>
      <w:pPr>
        <w:ind w:left="1932" w:hanging="1080"/>
      </w:pPr>
      <w:rPr>
        <w:rFonts w:hint="default" w:ascii="Arial"/>
        <w:b/>
      </w:rPr>
    </w:lvl>
    <w:lvl w:ilvl="4" w:tentative="0">
      <w:start w:val="1"/>
      <w:numFmt w:val="decimal"/>
      <w:lvlText w:val="%1.%2、%3.%4.%5."/>
      <w:lvlJc w:val="left"/>
      <w:pPr>
        <w:ind w:left="2576" w:hanging="1440"/>
      </w:pPr>
      <w:rPr>
        <w:rFonts w:hint="default" w:ascii="Arial"/>
        <w:b/>
      </w:rPr>
    </w:lvl>
    <w:lvl w:ilvl="5" w:tentative="0">
      <w:start w:val="1"/>
      <w:numFmt w:val="decimal"/>
      <w:lvlText w:val="%1.%2、%3.%4.%5.%6."/>
      <w:lvlJc w:val="left"/>
      <w:pPr>
        <w:ind w:left="3220" w:hanging="1800"/>
      </w:pPr>
      <w:rPr>
        <w:rFonts w:hint="default" w:ascii="Arial"/>
        <w:b/>
      </w:rPr>
    </w:lvl>
    <w:lvl w:ilvl="6" w:tentative="0">
      <w:start w:val="1"/>
      <w:numFmt w:val="decimal"/>
      <w:lvlText w:val="%1.%2、%3.%4.%5.%6.%7."/>
      <w:lvlJc w:val="left"/>
      <w:pPr>
        <w:ind w:left="3504" w:hanging="1800"/>
      </w:pPr>
      <w:rPr>
        <w:rFonts w:hint="default" w:ascii="Arial"/>
        <w:b/>
      </w:rPr>
    </w:lvl>
    <w:lvl w:ilvl="7" w:tentative="0">
      <w:start w:val="1"/>
      <w:numFmt w:val="decimal"/>
      <w:lvlText w:val="%1.%2、%3.%4.%5.%6.%7.%8."/>
      <w:lvlJc w:val="left"/>
      <w:pPr>
        <w:ind w:left="4148" w:hanging="2160"/>
      </w:pPr>
      <w:rPr>
        <w:rFonts w:hint="default" w:ascii="Arial"/>
        <w:b/>
      </w:rPr>
    </w:lvl>
    <w:lvl w:ilvl="8" w:tentative="0">
      <w:start w:val="1"/>
      <w:numFmt w:val="decimal"/>
      <w:lvlText w:val="%1.%2、%3.%4.%5.%6.%7.%8.%9."/>
      <w:lvlJc w:val="left"/>
      <w:pPr>
        <w:ind w:left="4792" w:hanging="2520"/>
      </w:pPr>
      <w:rPr>
        <w:rFonts w:hint="default" w:ascii="Arial"/>
        <w:b/>
      </w:rPr>
    </w:lvl>
  </w:abstractNum>
  <w:abstractNum w:abstractNumId="2">
    <w:nsid w:val="54EC2971"/>
    <w:multiLevelType w:val="multilevel"/>
    <w:tmpl w:val="54EC2971"/>
    <w:lvl w:ilvl="0" w:tentative="0">
      <w:start w:val="1"/>
      <w:numFmt w:val="decimal"/>
      <w:lvlText w:val="%1."/>
      <w:lvlJc w:val="left"/>
      <w:pPr>
        <w:ind w:left="585" w:hanging="585"/>
      </w:pPr>
      <w:rPr>
        <w:rFonts w:hint="default" w:ascii="Arial"/>
        <w:b/>
      </w:rPr>
    </w:lvl>
    <w:lvl w:ilvl="1" w:tentative="0">
      <w:start w:val="1"/>
      <w:numFmt w:val="decimal"/>
      <w:lvlText w:val="%1.%2、"/>
      <w:lvlJc w:val="left"/>
      <w:pPr>
        <w:ind w:left="1004" w:hanging="720"/>
      </w:pPr>
      <w:rPr>
        <w:rFonts w:hint="default" w:ascii="Arial" w:hAnsi="Arial" w:cs="Arial"/>
        <w:b/>
      </w:rPr>
    </w:lvl>
    <w:lvl w:ilvl="2" w:tentative="0">
      <w:start w:val="1"/>
      <w:numFmt w:val="decimal"/>
      <w:lvlText w:val="%1.%2、%3."/>
      <w:lvlJc w:val="left"/>
      <w:pPr>
        <w:ind w:left="1648" w:hanging="1080"/>
      </w:pPr>
      <w:rPr>
        <w:rFonts w:hint="default" w:ascii="Arial"/>
        <w:b/>
      </w:rPr>
    </w:lvl>
    <w:lvl w:ilvl="3" w:tentative="0">
      <w:start w:val="1"/>
      <w:numFmt w:val="decimal"/>
      <w:lvlText w:val="%1.%2、%3.%4."/>
      <w:lvlJc w:val="left"/>
      <w:pPr>
        <w:ind w:left="1932" w:hanging="1080"/>
      </w:pPr>
      <w:rPr>
        <w:rFonts w:hint="default" w:ascii="Arial"/>
        <w:b/>
      </w:rPr>
    </w:lvl>
    <w:lvl w:ilvl="4" w:tentative="0">
      <w:start w:val="1"/>
      <w:numFmt w:val="decimal"/>
      <w:lvlText w:val="%1.%2、%3.%4.%5."/>
      <w:lvlJc w:val="left"/>
      <w:pPr>
        <w:ind w:left="2576" w:hanging="1440"/>
      </w:pPr>
      <w:rPr>
        <w:rFonts w:hint="default" w:ascii="Arial"/>
        <w:b/>
      </w:rPr>
    </w:lvl>
    <w:lvl w:ilvl="5" w:tentative="0">
      <w:start w:val="1"/>
      <w:numFmt w:val="decimal"/>
      <w:lvlText w:val="%1.%2、%3.%4.%5.%6."/>
      <w:lvlJc w:val="left"/>
      <w:pPr>
        <w:ind w:left="3220" w:hanging="1800"/>
      </w:pPr>
      <w:rPr>
        <w:rFonts w:hint="default" w:ascii="Arial"/>
        <w:b/>
      </w:rPr>
    </w:lvl>
    <w:lvl w:ilvl="6" w:tentative="0">
      <w:start w:val="1"/>
      <w:numFmt w:val="decimal"/>
      <w:lvlText w:val="%1.%2、%3.%4.%5.%6.%7."/>
      <w:lvlJc w:val="left"/>
      <w:pPr>
        <w:ind w:left="3504" w:hanging="1800"/>
      </w:pPr>
      <w:rPr>
        <w:rFonts w:hint="default" w:ascii="Arial"/>
        <w:b/>
      </w:rPr>
    </w:lvl>
    <w:lvl w:ilvl="7" w:tentative="0">
      <w:start w:val="1"/>
      <w:numFmt w:val="decimal"/>
      <w:lvlText w:val="%1.%2、%3.%4.%5.%6.%7.%8."/>
      <w:lvlJc w:val="left"/>
      <w:pPr>
        <w:ind w:left="4148" w:hanging="2160"/>
      </w:pPr>
      <w:rPr>
        <w:rFonts w:hint="default" w:ascii="Arial"/>
        <w:b/>
      </w:rPr>
    </w:lvl>
    <w:lvl w:ilvl="8" w:tentative="0">
      <w:start w:val="1"/>
      <w:numFmt w:val="decimal"/>
      <w:lvlText w:val="%1.%2、%3.%4.%5.%6.%7.%8.%9."/>
      <w:lvlJc w:val="left"/>
      <w:pPr>
        <w:ind w:left="4792" w:hanging="2520"/>
      </w:pPr>
      <w:rPr>
        <w:rFonts w:hint="default" w:ascii="Arial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ZDU2ODg5MmE5NDlmNmJjNzhhYmE0N2M1ZmRhMzEifQ=="/>
  </w:docVars>
  <w:rsids>
    <w:rsidRoot w:val="2D303A39"/>
    <w:rsid w:val="2D303A39"/>
    <w:rsid w:val="3300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Arial" w:hAnsi="Arial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numPr>
        <w:ilvl w:val="0"/>
        <w:numId w:val="1"/>
      </w:numPr>
      <w:tabs>
        <w:tab w:val="left" w:pos="709"/>
      </w:tabs>
      <w:spacing w:beforeLines="50"/>
      <w:outlineLvl w:val="0"/>
    </w:pPr>
    <w:rPr>
      <w:b/>
      <w:kern w:val="2"/>
      <w:sz w:val="2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4">
    <w:name w:val="header"/>
    <w:basedOn w:val="1"/>
    <w:qFormat/>
    <w:uiPriority w:val="99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1090</Words>
  <Characters>1142</Characters>
  <Lines>0</Lines>
  <Paragraphs>0</Paragraphs>
  <TotalTime>0</TotalTime>
  <ScaleCrop>false</ScaleCrop>
  <LinksUpToDate>false</LinksUpToDate>
  <CharactersWithSpaces>1147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2023-05-19T15:16:00Z</dcterms:created>
  <dc:creator>周正辉</dc:creator>
  <cp:lastModifiedBy>周正辉</cp:lastModifiedBy>
  <dcterms:modified xsi:type="dcterms:W3CDTF">2023-06-08T03:09:51Z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B8C51E1A224344DAB607E18A43B761F4_11</vt:lpwstr>
  </property>
</Properties>
</file>